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2B" w:rsidRPr="00C8372B" w:rsidRDefault="00C8372B" w:rsidP="00C8372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ascii="Roboto" w:eastAsia="Times New Roman" w:hAnsi="Roboto" w:cs="Times New Roman"/>
          <w:noProof/>
          <w:color w:val="333333"/>
          <w:sz w:val="21"/>
          <w:szCs w:val="21"/>
        </w:rPr>
        <w:drawing>
          <wp:inline distT="0" distB="0" distL="0" distR="0">
            <wp:extent cx="1120345" cy="831868"/>
            <wp:effectExtent l="0" t="0" r="0" b="0"/>
            <wp:docPr id="1" name="Picture 1" descr="https://legalinfo.mn/storage/uploads/files/sul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galinfo.mn/storage/uploads/files/suld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45" cy="83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72B" w:rsidRPr="00C8372B" w:rsidRDefault="00C8372B" w:rsidP="00C8372B">
      <w:pPr>
        <w:shd w:val="clear" w:color="auto" w:fill="FFFFFF"/>
        <w:spacing w:after="130" w:line="259" w:lineRule="atLeast"/>
        <w:jc w:val="center"/>
        <w:rPr>
          <w:rFonts w:ascii="Roboto" w:eastAsia="Times New Roman" w:hAnsi="Roboto" w:cs="Times New Roman"/>
          <w:b/>
          <w:bCs/>
          <w:caps/>
          <w:color w:val="134A8D"/>
          <w:sz w:val="17"/>
          <w:szCs w:val="17"/>
        </w:rPr>
      </w:pPr>
      <w:r w:rsidRPr="00C8372B">
        <w:rPr>
          <w:rFonts w:ascii="Roboto" w:eastAsia="Times New Roman" w:hAnsi="Roboto" w:cs="Times New Roman"/>
          <w:b/>
          <w:bCs/>
          <w:caps/>
          <w:color w:val="134A8D"/>
          <w:sz w:val="17"/>
          <w:szCs w:val="17"/>
        </w:rPr>
        <w:t>МОНГОЛ УЛСЫН ЗАСГИЙН ГАЗРЫН ТОГТООЛ</w:t>
      </w:r>
    </w:p>
    <w:p w:rsidR="00C8372B" w:rsidRDefault="00C8372B" w:rsidP="00C8372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75DFF"/>
          <w:sz w:val="17"/>
          <w:szCs w:val="17"/>
          <w:lang w:val="mn-MN"/>
        </w:rPr>
      </w:pPr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 xml:space="preserve">2022 </w:t>
      </w:r>
      <w:proofErr w:type="spellStart"/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>оны</w:t>
      </w:r>
      <w:proofErr w:type="spellEnd"/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 xml:space="preserve"> 3 </w:t>
      </w:r>
      <w:proofErr w:type="spellStart"/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>сарын</w:t>
      </w:r>
      <w:proofErr w:type="spellEnd"/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 xml:space="preserve"> 9-ний </w:t>
      </w:r>
      <w:proofErr w:type="spellStart"/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>өдөр</w:t>
      </w:r>
      <w:proofErr w:type="spellEnd"/>
      <w:r>
        <w:rPr>
          <w:rFonts w:ascii="Roboto" w:eastAsia="Times New Roman" w:hAnsi="Roboto" w:cs="Times New Roman"/>
          <w:color w:val="275DFF"/>
          <w:sz w:val="17"/>
          <w:szCs w:val="17"/>
          <w:lang w:val="mn-MN"/>
        </w:rPr>
        <w:t xml:space="preserve">                                                     </w:t>
      </w:r>
      <w:proofErr w:type="spellStart"/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 xml:space="preserve"> 107</w:t>
      </w:r>
      <w:r>
        <w:rPr>
          <w:rFonts w:ascii="Roboto" w:eastAsia="Times New Roman" w:hAnsi="Roboto" w:cs="Times New Roman"/>
          <w:color w:val="275DFF"/>
          <w:sz w:val="17"/>
          <w:szCs w:val="17"/>
          <w:lang w:val="mn-MN"/>
        </w:rPr>
        <w:t xml:space="preserve">                           </w:t>
      </w:r>
      <w:proofErr w:type="spellStart"/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>Улаанбаатар</w:t>
      </w:r>
      <w:proofErr w:type="spellEnd"/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275DFF"/>
          <w:sz w:val="17"/>
          <w:szCs w:val="17"/>
        </w:rPr>
        <w:t>хот</w:t>
      </w:r>
      <w:proofErr w:type="spellEnd"/>
    </w:p>
    <w:p w:rsidR="00C8372B" w:rsidRPr="00C8372B" w:rsidRDefault="00C8372B" w:rsidP="00C8372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75DFF"/>
          <w:sz w:val="17"/>
          <w:szCs w:val="17"/>
          <w:lang w:val="mn-MN"/>
        </w:rPr>
      </w:pPr>
    </w:p>
    <w:p w:rsidR="00C8372B" w:rsidRPr="00C8372B" w:rsidRDefault="00C8372B" w:rsidP="00C8372B">
      <w:pPr>
        <w:shd w:val="clear" w:color="auto" w:fill="FFFFFF"/>
        <w:spacing w:after="195" w:line="389" w:lineRule="atLeast"/>
        <w:jc w:val="center"/>
        <w:rPr>
          <w:rFonts w:ascii="Roboto" w:eastAsia="Times New Roman" w:hAnsi="Roboto" w:cs="Times New Roman"/>
          <w:b/>
          <w:bCs/>
          <w:caps/>
          <w:color w:val="111111"/>
          <w:sz w:val="17"/>
          <w:szCs w:val="17"/>
        </w:rPr>
      </w:pPr>
      <w:r w:rsidRPr="00C8372B">
        <w:rPr>
          <w:rFonts w:ascii="Roboto" w:eastAsia="Times New Roman" w:hAnsi="Roboto" w:cs="Times New Roman"/>
          <w:b/>
          <w:bCs/>
          <w:caps/>
          <w:color w:val="111111"/>
          <w:sz w:val="17"/>
          <w:szCs w:val="17"/>
        </w:rPr>
        <w:t>ҮЙЛЧИЛГЭЭНИЙ АЛБАН ТУШААЛ ЭРХЭЛДЭГ ТӨРИЙН АЛБАН ХААГЧИЙН ЦАЛИНГИЙН ДООД ХЭМЖЭЭГ ТОГТООХ ТУХАЙ</w:t>
      </w:r>
    </w:p>
    <w:p w:rsidR="00C8372B" w:rsidRPr="00C8372B" w:rsidRDefault="00C8372B" w:rsidP="00C8372B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333333"/>
          <w:sz w:val="17"/>
          <w:szCs w:val="17"/>
        </w:rPr>
      </w:pP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Монгол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Улсын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Засгийн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газрын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тухай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хуулийн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30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зүйлийн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1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дэх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хэсэг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албаны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тухай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хуулийн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57.14-т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заасныг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тус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тус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үндэслэн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Монгол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Улсын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Засгийн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газраас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ТОГТООХ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нь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:</w:t>
      </w:r>
    </w:p>
    <w:p w:rsidR="00C8372B" w:rsidRPr="00C8372B" w:rsidRDefault="00C8372B" w:rsidP="00C8372B">
      <w:pPr>
        <w:shd w:val="clear" w:color="auto" w:fill="FFFFFF"/>
        <w:spacing w:after="0" w:line="259" w:lineRule="atLeast"/>
        <w:jc w:val="both"/>
        <w:rPr>
          <w:rFonts w:ascii="Roboto" w:eastAsia="Times New Roman" w:hAnsi="Roboto" w:cs="Times New Roman"/>
          <w:color w:val="333333"/>
          <w:sz w:val="17"/>
          <w:szCs w:val="17"/>
        </w:rPr>
      </w:pPr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1.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Эрүүл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мэндийн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салбарын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доод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хэмжээг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1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дүгээр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Эрүүл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мэндийн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салбарын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бусад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байгууллага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болон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байгууллагын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хэвийн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ажиллагааг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хангахад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туслах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доод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хэмжээг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2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Сургуулийн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өмнөх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болон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бага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дунд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боловсрол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эзэмшүүлэх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сургалтын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байгууллагын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доод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хэмжээг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3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Мэргэжлийн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боловсрол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олгох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сургуулийн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доод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хэмжээг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4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дүгээр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Шинжлэх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ухааны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байгууллагын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доод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хэмжээг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5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Соёл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урлагийн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салбарын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доод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хэмжээг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6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Эрүүл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мэндийн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салбараас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бусад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байгууллага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болон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байгууллагын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хэвийн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ажиллагааг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хангахад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туслах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доод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хэмжээг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7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ёсоор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тус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тус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тогтоож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2022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оны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3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1-ний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өдрөөс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эхлэн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дагаж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мөрдүүлсүгэй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.</w:t>
      </w:r>
    </w:p>
    <w:p w:rsidR="00C8372B" w:rsidRPr="00C8372B" w:rsidRDefault="00C8372B" w:rsidP="00C8372B">
      <w:pPr>
        <w:shd w:val="clear" w:color="auto" w:fill="FFFFFF"/>
        <w:spacing w:after="0" w:line="259" w:lineRule="atLeast"/>
        <w:jc w:val="both"/>
        <w:rPr>
          <w:rFonts w:ascii="Roboto" w:eastAsia="Times New Roman" w:hAnsi="Roboto" w:cs="Times New Roman"/>
          <w:color w:val="333333"/>
          <w:sz w:val="17"/>
          <w:szCs w:val="17"/>
        </w:rPr>
      </w:pPr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2.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Салбарын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онцлог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гүйцэтгэлд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суурилсан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дүнг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харгалзан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эрхэлдэг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хаагчийн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хөлсийг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доод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хэмжээнээс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нэмэгдүүлэх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асуудлыг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тухайн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жилийн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батлагдсан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төсвийн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багцынхаа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хүрээнд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зохицуулж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шийдвэрлэх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арга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хэмжээ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авч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ажиллахыг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төсвийн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холбогдох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ерөнхийлөн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захирагч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нарт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зөвшөөрсүгэй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.</w:t>
      </w:r>
    </w:p>
    <w:p w:rsidR="00C8372B" w:rsidRPr="00C8372B" w:rsidRDefault="00C8372B" w:rsidP="00C8372B">
      <w:pPr>
        <w:shd w:val="clear" w:color="auto" w:fill="FFFFFF"/>
        <w:spacing w:after="0" w:line="259" w:lineRule="atLeast"/>
        <w:jc w:val="both"/>
        <w:rPr>
          <w:rFonts w:ascii="Roboto" w:eastAsia="Times New Roman" w:hAnsi="Roboto" w:cs="Times New Roman"/>
          <w:color w:val="333333"/>
          <w:sz w:val="17"/>
          <w:szCs w:val="17"/>
        </w:rPr>
      </w:pPr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3.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Энэ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тогтоол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гарсантай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холбогдуулан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"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хаагчийн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сүлжээ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хэмжээг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шинэчлэн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тогтоох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тухай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"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Засгийн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газрын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2019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оны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12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25-ны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өдрийн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472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тогтоолын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1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дэх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заалтын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"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Шинжлэх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ухааны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байгууллагын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сүлжээг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4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дүгээр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Сургуулийн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өмнөх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болон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бага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дунд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боловсрол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эзэмшүүлэх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сургалтын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байгууллагын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сүлжээг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5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Мэргэжлийн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боловсрол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олгох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сургуулийн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сүлжээг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6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Эрүүл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мэндийн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салбарын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сүлжээг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7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Соёл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урлагийн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салбарын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сүлжээг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8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Эрүүл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мэндийн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салбараас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бусад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байгууллага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болон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байгууллагын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хэвийн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ажиллагааг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хангахад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туслах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сүлжээг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9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дүгээр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Эрүүл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мэндийн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салбарын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үйлчилгээний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бусад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байгууллага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болон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байгууллагын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хэвийн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үйл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ажиллагааг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хангахад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туслах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сүлжээг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10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,"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гэснийг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хассугай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.</w:t>
      </w:r>
    </w:p>
    <w:p w:rsidR="00C8372B" w:rsidRDefault="00C8372B" w:rsidP="00C8372B">
      <w:pPr>
        <w:shd w:val="clear" w:color="auto" w:fill="FFFFFF"/>
        <w:spacing w:after="0" w:line="259" w:lineRule="atLeast"/>
        <w:jc w:val="both"/>
        <w:rPr>
          <w:rFonts w:ascii="Roboto" w:eastAsia="Times New Roman" w:hAnsi="Roboto" w:cs="Times New Roman"/>
          <w:color w:val="333333"/>
          <w:sz w:val="17"/>
          <w:szCs w:val="17"/>
          <w:lang w:val="mn-MN"/>
        </w:rPr>
      </w:pPr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4.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Энэ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тогтоол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гарсантай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холбогдуулан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"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Төрийн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хаагчийн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албан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тушаалын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цалингийн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сүлжээ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хэмжээг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шинэчлэн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тогтоох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тухай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"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Засгийн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газрын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2019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оны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12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сарын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25-ны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өдрийн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472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тогтоолын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4, 5, 6, 7, 8, 9, 10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дугаар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хавсралтыг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тус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тус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хүчингүй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болсонд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тооцсугай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.</w:t>
      </w:r>
    </w:p>
    <w:p w:rsidR="00C8372B" w:rsidRPr="00C8372B" w:rsidRDefault="00C8372B" w:rsidP="00C8372B">
      <w:pPr>
        <w:shd w:val="clear" w:color="auto" w:fill="FFFFFF"/>
        <w:spacing w:after="0" w:line="259" w:lineRule="atLeast"/>
        <w:jc w:val="both"/>
        <w:rPr>
          <w:rFonts w:ascii="Roboto" w:eastAsia="Times New Roman" w:hAnsi="Roboto" w:cs="Times New Roman"/>
          <w:color w:val="333333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333333"/>
          <w:sz w:val="17"/>
          <w:szCs w:val="17"/>
          <w:lang w:val="mn-MN"/>
        </w:rPr>
      </w:pP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Монгол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Улсын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Ерөнхий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сайд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Л.ОЮУН-ЭРДЭНЭ</w:t>
      </w:r>
    </w:p>
    <w:p w:rsidR="00C8372B" w:rsidRDefault="00C8372B" w:rsidP="00C8372B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333333"/>
          <w:sz w:val="17"/>
          <w:szCs w:val="17"/>
          <w:lang w:val="mn-MN"/>
        </w:rPr>
      </w:pPr>
    </w:p>
    <w:p w:rsidR="00C8372B" w:rsidRPr="00C8372B" w:rsidRDefault="00C8372B" w:rsidP="00C8372B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333333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333333"/>
          <w:sz w:val="17"/>
          <w:szCs w:val="17"/>
          <w:lang w:val="mn-MN"/>
        </w:rPr>
      </w:pP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Хөдөлмөр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,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нийгмийн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хамгааллын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</w:t>
      </w:r>
      <w:proofErr w:type="spellStart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>сайд</w:t>
      </w:r>
      <w:proofErr w:type="spellEnd"/>
      <w:r w:rsidRPr="00C8372B">
        <w:rPr>
          <w:rFonts w:ascii="Roboto" w:eastAsia="Times New Roman" w:hAnsi="Roboto" w:cs="Times New Roman"/>
          <w:color w:val="333333"/>
          <w:sz w:val="17"/>
          <w:szCs w:val="17"/>
        </w:rPr>
        <w:t xml:space="preserve"> А.АРИУНЗАЯА</w:t>
      </w:r>
    </w:p>
    <w:p w:rsidR="00C8372B" w:rsidRDefault="00C8372B" w:rsidP="00C8372B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333333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P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lastRenderedPageBreak/>
        <w:t>Засгийн</w:t>
      </w:r>
      <w:proofErr w:type="spellEnd"/>
      <w:r w:rsidRPr="00C8372B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газрын</w:t>
      </w:r>
      <w:proofErr w:type="spellEnd"/>
      <w:r w:rsidRPr="00C8372B">
        <w:rPr>
          <w:rFonts w:ascii="Arial" w:eastAsia="Times New Roman" w:hAnsi="Arial" w:cs="Arial"/>
          <w:color w:val="000000"/>
          <w:sz w:val="17"/>
          <w:szCs w:val="17"/>
        </w:rPr>
        <w:t xml:space="preserve"> 2022 </w:t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оны</w:t>
      </w:r>
      <w:proofErr w:type="spellEnd"/>
      <w:r w:rsidRPr="00C8372B">
        <w:rPr>
          <w:rFonts w:ascii="Arial" w:eastAsia="Times New Roman" w:hAnsi="Arial" w:cs="Arial"/>
          <w:color w:val="000000"/>
          <w:sz w:val="17"/>
          <w:szCs w:val="17"/>
        </w:rPr>
        <w:t> 107 </w:t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дугаар</w:t>
      </w:r>
      <w:proofErr w:type="spellEnd"/>
    </w:p>
    <w:p w:rsidR="00C8372B" w:rsidRP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000000"/>
          <w:sz w:val="17"/>
          <w:szCs w:val="17"/>
        </w:rPr>
        <w:t> </w:t>
      </w:r>
      <w:proofErr w:type="spellStart"/>
      <w:proofErr w:type="gram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тогтоолын</w:t>
      </w:r>
      <w:proofErr w:type="spellEnd"/>
      <w:proofErr w:type="gramEnd"/>
      <w:r w:rsidRPr="00C8372B">
        <w:rPr>
          <w:rFonts w:ascii="Arial" w:eastAsia="Times New Roman" w:hAnsi="Arial" w:cs="Arial"/>
          <w:color w:val="000000"/>
          <w:sz w:val="17"/>
          <w:szCs w:val="17"/>
        </w:rPr>
        <w:t xml:space="preserve"> 1 </w:t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дүгээр</w:t>
      </w:r>
      <w:proofErr w:type="spellEnd"/>
      <w:r w:rsidRPr="00C8372B">
        <w:rPr>
          <w:rFonts w:ascii="Arial" w:eastAsia="Times New Roman" w:hAnsi="Arial" w:cs="Arial"/>
          <w:color w:val="000000"/>
          <w:sz w:val="17"/>
          <w:szCs w:val="17"/>
        </w:rPr>
        <w:t> </w:t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хавсралт</w:t>
      </w:r>
      <w:proofErr w:type="spellEnd"/>
      <w:r w:rsidRPr="00C8372B">
        <w:rPr>
          <w:rFonts w:ascii="Arial" w:eastAsia="Times New Roman" w:hAnsi="Arial" w:cs="Arial"/>
          <w:color w:val="000000"/>
          <w:sz w:val="17"/>
          <w:szCs w:val="17"/>
        </w:rPr>
        <w:t>.             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262626"/>
          <w:sz w:val="17"/>
          <w:szCs w:val="17"/>
        </w:rPr>
        <w:t> </w:t>
      </w:r>
    </w:p>
    <w:p w:rsidR="00C8372B" w:rsidRDefault="00C8372B" w:rsidP="00C8372B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7"/>
          <w:szCs w:val="17"/>
          <w:lang w:val="mn-MN"/>
        </w:rPr>
      </w:pPr>
      <w:r w:rsidRPr="00C8372B">
        <w:rPr>
          <w:rFonts w:ascii="Arial" w:eastAsia="Times New Roman" w:hAnsi="Arial" w:cs="Arial"/>
          <w:color w:val="262626"/>
          <w:sz w:val="17"/>
          <w:szCs w:val="17"/>
        </w:rPr>
        <w:t> 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16"/>
          <w:szCs w:val="16"/>
          <w:lang w:val="mn-MN"/>
        </w:rPr>
      </w:pPr>
    </w:p>
    <w:p w:rsidR="00C8372B" w:rsidRPr="00C8372B" w:rsidRDefault="00C8372B" w:rsidP="00C8372B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000000"/>
          <w:sz w:val="17"/>
          <w:szCs w:val="17"/>
        </w:rPr>
        <w:t>ЭРҮҮЛ МЭНДИЙН САЛБАРЫН ТӨРИЙН ҮЙЛЧИЛГЭЭНИЙ</w:t>
      </w:r>
      <w:r w:rsidRPr="00C8372B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C8372B">
        <w:rPr>
          <w:rFonts w:ascii="Arial" w:eastAsia="Times New Roman" w:hAnsi="Arial" w:cs="Arial"/>
          <w:color w:val="000000"/>
          <w:sz w:val="17"/>
          <w:szCs w:val="17"/>
        </w:rPr>
        <w:t>АЛБАН ТУШААЛЫН ЦАЛИНГИЙН ДООД ХЭМЖЭЭ</w:t>
      </w:r>
    </w:p>
    <w:p w:rsidR="00C8372B" w:rsidRDefault="00C8372B" w:rsidP="00C8372B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  <w:r w:rsidRPr="00C8372B">
        <w:rPr>
          <w:rFonts w:ascii="Arial" w:eastAsia="Times New Roman" w:hAnsi="Arial" w:cs="Arial"/>
          <w:color w:val="000000"/>
          <w:sz w:val="17"/>
          <w:szCs w:val="17"/>
        </w:rPr>
        <w:t>                                                                              (</w:t>
      </w:r>
      <w:proofErr w:type="spellStart"/>
      <w:proofErr w:type="gram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сард</w:t>
      </w:r>
      <w:proofErr w:type="spellEnd"/>
      <w:proofErr w:type="gramEnd"/>
      <w:r w:rsidRPr="00C8372B">
        <w:rPr>
          <w:rFonts w:ascii="Arial" w:eastAsia="Times New Roman" w:hAnsi="Arial" w:cs="Arial"/>
          <w:color w:val="000000"/>
          <w:sz w:val="17"/>
          <w:szCs w:val="17"/>
        </w:rPr>
        <w:t>, </w:t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төгрөгөөр</w:t>
      </w:r>
      <w:proofErr w:type="spellEnd"/>
      <w:r w:rsidRPr="00C8372B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16"/>
          <w:szCs w:val="16"/>
          <w:lang w:val="mn-MN"/>
        </w:rPr>
      </w:pPr>
    </w:p>
    <w:tbl>
      <w:tblPr>
        <w:tblW w:w="90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  <w:gridCol w:w="4855"/>
      </w:tblGrid>
      <w:tr w:rsidR="00C8372B" w:rsidRPr="00C8372B" w:rsidTr="00C8372B">
        <w:trPr>
          <w:trHeight w:val="315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Албан</w:t>
            </w:r>
            <w:proofErr w:type="spellEnd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тушаалын</w:t>
            </w:r>
            <w:proofErr w:type="spellEnd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зэрэглэл</w:t>
            </w:r>
            <w:proofErr w:type="spellEnd"/>
          </w:p>
        </w:tc>
        <w:tc>
          <w:tcPr>
            <w:tcW w:w="4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Цалингийн</w:t>
            </w:r>
            <w:proofErr w:type="spellEnd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доод</w:t>
            </w:r>
            <w:proofErr w:type="spellEnd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хэмжээ</w:t>
            </w:r>
            <w:proofErr w:type="spellEnd"/>
          </w:p>
        </w:tc>
      </w:tr>
      <w:tr w:rsidR="00C8372B" w:rsidRPr="00C8372B" w:rsidTr="00C8372B">
        <w:trPr>
          <w:trHeight w:val="300"/>
        </w:trPr>
        <w:tc>
          <w:tcPr>
            <w:tcW w:w="3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ТҮЭМ-1</w:t>
            </w:r>
          </w:p>
        </w:tc>
        <w:tc>
          <w:tcPr>
            <w:tcW w:w="44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616629</w:t>
            </w:r>
          </w:p>
        </w:tc>
      </w:tr>
      <w:tr w:rsidR="00C8372B" w:rsidRPr="00C8372B" w:rsidTr="00C8372B">
        <w:trPr>
          <w:trHeight w:val="300"/>
        </w:trPr>
        <w:tc>
          <w:tcPr>
            <w:tcW w:w="3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ТҮЭМ-2</w:t>
            </w:r>
          </w:p>
        </w:tc>
        <w:tc>
          <w:tcPr>
            <w:tcW w:w="44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663419</w:t>
            </w:r>
          </w:p>
        </w:tc>
      </w:tr>
      <w:tr w:rsidR="00C8372B" w:rsidRPr="00C8372B" w:rsidTr="00C8372B">
        <w:trPr>
          <w:trHeight w:val="300"/>
        </w:trPr>
        <w:tc>
          <w:tcPr>
            <w:tcW w:w="3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ТҮЭМ-3 </w:t>
            </w:r>
          </w:p>
        </w:tc>
        <w:tc>
          <w:tcPr>
            <w:tcW w:w="44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740619</w:t>
            </w:r>
          </w:p>
        </w:tc>
      </w:tr>
      <w:tr w:rsidR="00C8372B" w:rsidRPr="00C8372B" w:rsidTr="00C8372B">
        <w:trPr>
          <w:trHeight w:val="300"/>
        </w:trPr>
        <w:tc>
          <w:tcPr>
            <w:tcW w:w="3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ТҮЭМ-4 - </w:t>
            </w: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Резидент</w:t>
            </w:r>
            <w:proofErr w:type="spellEnd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эмч</w:t>
            </w:r>
            <w:proofErr w:type="spellEnd"/>
          </w:p>
        </w:tc>
        <w:tc>
          <w:tcPr>
            <w:tcW w:w="44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703623</w:t>
            </w:r>
          </w:p>
        </w:tc>
      </w:tr>
      <w:tr w:rsidR="00C8372B" w:rsidRPr="00C8372B" w:rsidTr="00C8372B">
        <w:trPr>
          <w:trHeight w:val="300"/>
        </w:trPr>
        <w:tc>
          <w:tcPr>
            <w:tcW w:w="3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 ТҮЭМ-4-Резидент </w:t>
            </w: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эмчээс</w:t>
            </w:r>
            <w:proofErr w:type="spellEnd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бусад</w:t>
            </w:r>
            <w:proofErr w:type="spellEnd"/>
          </w:p>
        </w:tc>
        <w:tc>
          <w:tcPr>
            <w:tcW w:w="44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799806</w:t>
            </w:r>
          </w:p>
        </w:tc>
      </w:tr>
      <w:tr w:rsidR="00C8372B" w:rsidRPr="00C8372B" w:rsidTr="00C8372B">
        <w:trPr>
          <w:trHeight w:val="300"/>
        </w:trPr>
        <w:tc>
          <w:tcPr>
            <w:tcW w:w="3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ТҮЭМ-5 </w:t>
            </w:r>
          </w:p>
        </w:tc>
        <w:tc>
          <w:tcPr>
            <w:tcW w:w="44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832357</w:t>
            </w:r>
          </w:p>
        </w:tc>
      </w:tr>
      <w:tr w:rsidR="00C8372B" w:rsidRPr="00C8372B" w:rsidTr="00C8372B">
        <w:trPr>
          <w:trHeight w:val="300"/>
        </w:trPr>
        <w:tc>
          <w:tcPr>
            <w:tcW w:w="3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ТҮЭМ-6  </w:t>
            </w:r>
          </w:p>
        </w:tc>
        <w:tc>
          <w:tcPr>
            <w:tcW w:w="44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934899</w:t>
            </w:r>
          </w:p>
        </w:tc>
      </w:tr>
      <w:tr w:rsidR="00C8372B" w:rsidRPr="00C8372B" w:rsidTr="00C8372B">
        <w:trPr>
          <w:trHeight w:val="300"/>
        </w:trPr>
        <w:tc>
          <w:tcPr>
            <w:tcW w:w="3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ТҮЭМ-7</w:t>
            </w:r>
          </w:p>
        </w:tc>
        <w:tc>
          <w:tcPr>
            <w:tcW w:w="44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964899</w:t>
            </w:r>
          </w:p>
        </w:tc>
      </w:tr>
      <w:tr w:rsidR="00C8372B" w:rsidRPr="00C8372B" w:rsidTr="00C8372B">
        <w:trPr>
          <w:trHeight w:val="300"/>
        </w:trPr>
        <w:tc>
          <w:tcPr>
            <w:tcW w:w="3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ТҮЭМ-8</w:t>
            </w:r>
          </w:p>
        </w:tc>
        <w:tc>
          <w:tcPr>
            <w:tcW w:w="44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973165</w:t>
            </w:r>
          </w:p>
        </w:tc>
      </w:tr>
      <w:tr w:rsidR="00C8372B" w:rsidRPr="00C8372B" w:rsidTr="00C8372B">
        <w:trPr>
          <w:trHeight w:val="300"/>
        </w:trPr>
        <w:tc>
          <w:tcPr>
            <w:tcW w:w="3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ТҮЭМ-9</w:t>
            </w:r>
          </w:p>
        </w:tc>
        <w:tc>
          <w:tcPr>
            <w:tcW w:w="44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1039119</w:t>
            </w:r>
          </w:p>
        </w:tc>
      </w:tr>
    </w:tbl>
    <w:p w:rsidR="00C8372B" w:rsidRPr="00C8372B" w:rsidRDefault="00C8372B" w:rsidP="00C8372B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val="mn-MN"/>
        </w:rPr>
      </w:pPr>
    </w:p>
    <w:p w:rsidR="00C8372B" w:rsidRP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000000"/>
          <w:sz w:val="17"/>
          <w:szCs w:val="17"/>
        </w:rPr>
        <w:lastRenderedPageBreak/>
        <w:br/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Засгийн</w:t>
      </w:r>
      <w:proofErr w:type="spellEnd"/>
      <w:r w:rsidRPr="00C8372B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газрын</w:t>
      </w:r>
      <w:proofErr w:type="spellEnd"/>
      <w:r w:rsidRPr="00C8372B">
        <w:rPr>
          <w:rFonts w:ascii="Arial" w:eastAsia="Times New Roman" w:hAnsi="Arial" w:cs="Arial"/>
          <w:color w:val="000000"/>
          <w:sz w:val="17"/>
          <w:szCs w:val="17"/>
        </w:rPr>
        <w:t xml:space="preserve"> 2022 </w:t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оны</w:t>
      </w:r>
      <w:proofErr w:type="spellEnd"/>
      <w:r w:rsidRPr="00C8372B">
        <w:rPr>
          <w:rFonts w:ascii="Arial" w:eastAsia="Times New Roman" w:hAnsi="Arial" w:cs="Arial"/>
          <w:color w:val="000000"/>
          <w:sz w:val="17"/>
          <w:szCs w:val="17"/>
        </w:rPr>
        <w:t> 107 </w:t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дугаар</w:t>
      </w:r>
      <w:proofErr w:type="spellEnd"/>
    </w:p>
    <w:p w:rsidR="00C8372B" w:rsidRP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000000"/>
          <w:sz w:val="17"/>
          <w:szCs w:val="17"/>
        </w:rPr>
        <w:t> </w:t>
      </w:r>
      <w:proofErr w:type="spellStart"/>
      <w:proofErr w:type="gram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тогтоолын</w:t>
      </w:r>
      <w:proofErr w:type="spellEnd"/>
      <w:proofErr w:type="gramEnd"/>
      <w:r w:rsidRPr="00C8372B">
        <w:rPr>
          <w:rFonts w:ascii="Arial" w:eastAsia="Times New Roman" w:hAnsi="Arial" w:cs="Arial"/>
          <w:color w:val="333333"/>
          <w:sz w:val="16"/>
          <w:szCs w:val="16"/>
        </w:rPr>
        <w:t> </w:t>
      </w:r>
      <w:r w:rsidRPr="00C8372B">
        <w:rPr>
          <w:rFonts w:ascii="Arial" w:eastAsia="Times New Roman" w:hAnsi="Arial" w:cs="Arial"/>
          <w:color w:val="000000"/>
          <w:sz w:val="17"/>
          <w:szCs w:val="17"/>
        </w:rPr>
        <w:t>2 </w:t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дугаар</w:t>
      </w:r>
      <w:proofErr w:type="spellEnd"/>
      <w:r w:rsidRPr="00C8372B">
        <w:rPr>
          <w:rFonts w:ascii="Arial" w:eastAsia="Times New Roman" w:hAnsi="Arial" w:cs="Arial"/>
          <w:color w:val="000000"/>
          <w:sz w:val="17"/>
          <w:szCs w:val="17"/>
        </w:rPr>
        <w:t> </w:t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хавсралт</w:t>
      </w:r>
      <w:proofErr w:type="spellEnd"/>
      <w:r w:rsidRPr="00C8372B">
        <w:rPr>
          <w:rFonts w:ascii="Arial" w:eastAsia="Times New Roman" w:hAnsi="Arial" w:cs="Arial"/>
          <w:color w:val="000000"/>
          <w:sz w:val="17"/>
          <w:szCs w:val="17"/>
        </w:rPr>
        <w:t>         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000000"/>
          <w:sz w:val="17"/>
          <w:szCs w:val="17"/>
        </w:rPr>
        <w:t>ЭРҮҮЛ МЭНДИЙН САЛБАРЫН ТӨРИЙН ҮЙЛЧИЛГЭЭНИЙ БУСАД БАЙГУУЛЛАГА БОЛОН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000000"/>
          <w:sz w:val="17"/>
          <w:szCs w:val="17"/>
        </w:rPr>
        <w:t>ТӨРИЙН БАЙГУУЛЛАГЫН</w:t>
      </w:r>
      <w:r w:rsidRPr="00C8372B">
        <w:rPr>
          <w:rFonts w:ascii="Arial" w:eastAsia="Times New Roman" w:hAnsi="Arial" w:cs="Arial"/>
          <w:color w:val="333333"/>
          <w:sz w:val="16"/>
          <w:szCs w:val="16"/>
        </w:rPr>
        <w:t> </w:t>
      </w:r>
      <w:r w:rsidRPr="00C8372B">
        <w:rPr>
          <w:rFonts w:ascii="Arial" w:eastAsia="Times New Roman" w:hAnsi="Arial" w:cs="Arial"/>
          <w:color w:val="000000"/>
          <w:sz w:val="17"/>
          <w:szCs w:val="17"/>
        </w:rPr>
        <w:t>ХЭВИЙН ҮЙЛ АЖИЛЛАГААГ ХАНГАХАД ТУСЛАХ</w:t>
      </w:r>
      <w:r w:rsidRPr="00C8372B">
        <w:rPr>
          <w:rFonts w:ascii="Arial" w:eastAsia="Times New Roman" w:hAnsi="Arial" w:cs="Arial"/>
          <w:color w:val="333333"/>
          <w:sz w:val="16"/>
          <w:szCs w:val="16"/>
        </w:rPr>
        <w:t> </w:t>
      </w:r>
      <w:r w:rsidRPr="00C8372B">
        <w:rPr>
          <w:rFonts w:ascii="Arial" w:eastAsia="Times New Roman" w:hAnsi="Arial" w:cs="Arial"/>
          <w:color w:val="000000"/>
          <w:sz w:val="17"/>
          <w:szCs w:val="17"/>
        </w:rPr>
        <w:t>АЛБАН ТУШААЛЫН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000000"/>
          <w:sz w:val="17"/>
          <w:szCs w:val="17"/>
        </w:rPr>
        <w:t>ЦАЛИНГИЙН ДООД ХЭМЖЭЭ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000000"/>
          <w:sz w:val="17"/>
          <w:szCs w:val="17"/>
        </w:rPr>
        <w:t>                           (</w:t>
      </w:r>
      <w:proofErr w:type="spellStart"/>
      <w:proofErr w:type="gram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сард</w:t>
      </w:r>
      <w:proofErr w:type="spellEnd"/>
      <w:proofErr w:type="gramEnd"/>
      <w:r w:rsidRPr="00C8372B">
        <w:rPr>
          <w:rFonts w:ascii="Arial" w:eastAsia="Times New Roman" w:hAnsi="Arial" w:cs="Arial"/>
          <w:color w:val="000000"/>
          <w:sz w:val="17"/>
          <w:szCs w:val="17"/>
        </w:rPr>
        <w:t>,</w:t>
      </w:r>
      <w:r w:rsidRPr="00C8372B">
        <w:rPr>
          <w:rFonts w:ascii="Arial" w:eastAsia="Times New Roman" w:hAnsi="Arial" w:cs="Arial"/>
          <w:color w:val="333333"/>
          <w:sz w:val="16"/>
          <w:szCs w:val="16"/>
        </w:rPr>
        <w:t> </w:t>
      </w:r>
      <w:proofErr w:type="spellStart"/>
      <w:r w:rsidRPr="00C8372B">
        <w:rPr>
          <w:rFonts w:ascii="Arial" w:eastAsia="Times New Roman" w:hAnsi="Arial" w:cs="Arial"/>
          <w:color w:val="000000"/>
          <w:sz w:val="17"/>
          <w:szCs w:val="17"/>
        </w:rPr>
        <w:t>төгрөгөөр</w:t>
      </w:r>
      <w:proofErr w:type="spellEnd"/>
      <w:r w:rsidRPr="00C8372B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tbl>
      <w:tblPr>
        <w:tblW w:w="88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98"/>
        <w:gridCol w:w="4926"/>
      </w:tblGrid>
      <w:tr w:rsidR="00C8372B" w:rsidRPr="00C8372B" w:rsidTr="00C8372B">
        <w:trPr>
          <w:trHeight w:val="31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Албан</w:t>
            </w:r>
            <w:proofErr w:type="spellEnd"/>
            <w:r w:rsidRPr="00C8372B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тушаалын</w:t>
            </w:r>
            <w:proofErr w:type="spellEnd"/>
            <w:r w:rsidRPr="00C8372B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зэрэглэл</w:t>
            </w:r>
            <w:proofErr w:type="spellEnd"/>
          </w:p>
        </w:tc>
        <w:tc>
          <w:tcPr>
            <w:tcW w:w="4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Цалингийн</w:t>
            </w:r>
            <w:proofErr w:type="spellEnd"/>
            <w:r w:rsidRPr="00C8372B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доод</w:t>
            </w:r>
            <w:proofErr w:type="spellEnd"/>
            <w:r w:rsidRPr="00C8372B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  <w:proofErr w:type="spellStart"/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хэмжээ</w:t>
            </w:r>
            <w:proofErr w:type="spellEnd"/>
          </w:p>
        </w:tc>
      </w:tr>
      <w:tr w:rsidR="00C8372B" w:rsidRPr="00C8372B" w:rsidTr="00C8372B">
        <w:trPr>
          <w:trHeight w:val="300"/>
        </w:trPr>
        <w:tc>
          <w:tcPr>
            <w:tcW w:w="37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ТҮ-1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546162</w:t>
            </w:r>
          </w:p>
        </w:tc>
      </w:tr>
      <w:tr w:rsidR="00C8372B" w:rsidRPr="00C8372B" w:rsidTr="00C8372B">
        <w:trPr>
          <w:trHeight w:val="300"/>
        </w:trPr>
        <w:tc>
          <w:tcPr>
            <w:tcW w:w="37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ТҮ-2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573130</w:t>
            </w:r>
          </w:p>
        </w:tc>
      </w:tr>
      <w:tr w:rsidR="00C8372B" w:rsidRPr="00C8372B" w:rsidTr="00C8372B">
        <w:trPr>
          <w:trHeight w:val="300"/>
        </w:trPr>
        <w:tc>
          <w:tcPr>
            <w:tcW w:w="37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ТҮ-3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594350</w:t>
            </w:r>
          </w:p>
        </w:tc>
      </w:tr>
      <w:tr w:rsidR="00C8372B" w:rsidRPr="00C8372B" w:rsidTr="00C8372B">
        <w:trPr>
          <w:trHeight w:val="300"/>
        </w:trPr>
        <w:tc>
          <w:tcPr>
            <w:tcW w:w="37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ТҮ-4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616629</w:t>
            </w:r>
          </w:p>
        </w:tc>
      </w:tr>
      <w:tr w:rsidR="00C8372B" w:rsidRPr="00C8372B" w:rsidTr="00C8372B">
        <w:trPr>
          <w:trHeight w:val="300"/>
        </w:trPr>
        <w:tc>
          <w:tcPr>
            <w:tcW w:w="37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ТҮ-5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663419</w:t>
            </w:r>
          </w:p>
        </w:tc>
      </w:tr>
      <w:tr w:rsidR="00C8372B" w:rsidRPr="00C8372B" w:rsidTr="00C8372B">
        <w:trPr>
          <w:trHeight w:val="300"/>
        </w:trPr>
        <w:tc>
          <w:tcPr>
            <w:tcW w:w="37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ТҮ-6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740619</w:t>
            </w:r>
          </w:p>
        </w:tc>
      </w:tr>
      <w:tr w:rsidR="00C8372B" w:rsidRPr="00C8372B" w:rsidTr="00C8372B">
        <w:trPr>
          <w:trHeight w:val="300"/>
        </w:trPr>
        <w:tc>
          <w:tcPr>
            <w:tcW w:w="37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ТҮ-7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799806</w:t>
            </w:r>
          </w:p>
        </w:tc>
      </w:tr>
      <w:tr w:rsidR="00C8372B" w:rsidRPr="00C8372B" w:rsidTr="00C8372B">
        <w:trPr>
          <w:trHeight w:val="300"/>
        </w:trPr>
        <w:tc>
          <w:tcPr>
            <w:tcW w:w="37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ТҮ-8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832357</w:t>
            </w:r>
          </w:p>
        </w:tc>
      </w:tr>
      <w:tr w:rsidR="00C8372B" w:rsidRPr="00C8372B" w:rsidTr="00C8372B">
        <w:trPr>
          <w:trHeight w:val="300"/>
        </w:trPr>
        <w:tc>
          <w:tcPr>
            <w:tcW w:w="37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ТҮ-9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934899</w:t>
            </w:r>
          </w:p>
        </w:tc>
      </w:tr>
      <w:tr w:rsidR="00C8372B" w:rsidRPr="00C8372B" w:rsidTr="00C8372B">
        <w:trPr>
          <w:trHeight w:val="300"/>
        </w:trPr>
        <w:tc>
          <w:tcPr>
            <w:tcW w:w="37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ТҮ-10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964899</w:t>
            </w:r>
          </w:p>
        </w:tc>
      </w:tr>
      <w:tr w:rsidR="00C8372B" w:rsidRPr="00C8372B" w:rsidTr="00C8372B">
        <w:trPr>
          <w:trHeight w:val="300"/>
        </w:trPr>
        <w:tc>
          <w:tcPr>
            <w:tcW w:w="37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ТҮ-11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973165</w:t>
            </w:r>
          </w:p>
        </w:tc>
      </w:tr>
      <w:tr w:rsidR="00C8372B" w:rsidRPr="00C8372B" w:rsidTr="00C8372B">
        <w:trPr>
          <w:trHeight w:val="300"/>
        </w:trPr>
        <w:tc>
          <w:tcPr>
            <w:tcW w:w="37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ТҮ-12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8372B" w:rsidRPr="00C8372B" w:rsidRDefault="00C8372B" w:rsidP="00C8372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8372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1039119</w:t>
            </w:r>
          </w:p>
        </w:tc>
      </w:tr>
    </w:tbl>
    <w:p w:rsidR="00C8372B" w:rsidRPr="00C8372B" w:rsidRDefault="00C8372B" w:rsidP="00C8372B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C8372B" w:rsidRPr="00C8372B" w:rsidRDefault="00C8372B" w:rsidP="00C8372B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C8372B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000000" w:rsidRDefault="00C8372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51E"/>
    <w:multiLevelType w:val="multilevel"/>
    <w:tmpl w:val="A574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F7C7F"/>
    <w:multiLevelType w:val="multilevel"/>
    <w:tmpl w:val="C2A8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5541C"/>
    <w:multiLevelType w:val="multilevel"/>
    <w:tmpl w:val="F7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A69CC"/>
    <w:multiLevelType w:val="multilevel"/>
    <w:tmpl w:val="ED1E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8372B"/>
    <w:rsid w:val="00C8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8372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372B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C837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083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6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1B4392"/>
                                    <w:left w:val="single" w:sz="4" w:space="0" w:color="1B4392"/>
                                    <w:bottom w:val="single" w:sz="4" w:space="0" w:color="1B4392"/>
                                    <w:right w:val="single" w:sz="4" w:space="0" w:color="1B4392"/>
                                  </w:divBdr>
                                  <w:divsChild>
                                    <w:div w:id="148801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5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9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7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2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1993758">
                                                      <w:marLeft w:val="0"/>
                                                      <w:marRight w:val="0"/>
                                                      <w:marTop w:val="3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89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76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69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185627">
                                                          <w:marLeft w:val="2126"/>
                                                          <w:marRight w:val="142"/>
                                                          <w:marTop w:val="195"/>
                                                          <w:marBottom w:val="19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350523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068340">
                                                          <w:marLeft w:val="0"/>
                                                          <w:marRight w:val="0"/>
                                                          <w:marTop w:val="1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916157">
                                                          <w:marLeft w:val="0"/>
                                                          <w:marRight w:val="0"/>
                                                          <w:marTop w:val="1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294549">
                                                          <w:marLeft w:val="0"/>
                                                          <w:marRight w:val="0"/>
                                                          <w:marTop w:val="1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316096">
                                                          <w:marLeft w:val="0"/>
                                                          <w:marRight w:val="0"/>
                                                          <w:marTop w:val="1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229565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258754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487142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725">
              <w:marLeft w:val="0"/>
              <w:marRight w:val="195"/>
              <w:marTop w:val="0"/>
              <w:marBottom w:val="0"/>
              <w:divBdr>
                <w:top w:val="single" w:sz="4" w:space="3" w:color="B9B8B7"/>
                <w:left w:val="single" w:sz="4" w:space="3" w:color="B9B8B7"/>
                <w:bottom w:val="single" w:sz="4" w:space="3" w:color="B9B8B7"/>
                <w:right w:val="single" w:sz="4" w:space="3" w:color="B9B8B7"/>
              </w:divBdr>
            </w:div>
          </w:divsChild>
        </w:div>
        <w:div w:id="1335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1552">
                  <w:marLeft w:val="-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4343">
                          <w:marLeft w:val="0"/>
                          <w:marRight w:val="0"/>
                          <w:marTop w:val="25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0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9775">
                          <w:marLeft w:val="0"/>
                          <w:marRight w:val="0"/>
                          <w:marTop w:val="2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5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2</cp:revision>
  <cp:lastPrinted>2022-03-24T06:03:00Z</cp:lastPrinted>
  <dcterms:created xsi:type="dcterms:W3CDTF">2022-03-24T06:01:00Z</dcterms:created>
  <dcterms:modified xsi:type="dcterms:W3CDTF">2022-03-24T06:03:00Z</dcterms:modified>
</cp:coreProperties>
</file>